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cs="宋体" w:asciiTheme="minorEastAsia" w:hAnsiTheme="minorEastAsia"/>
          <w:b/>
          <w:bCs/>
          <w:color w:val="000000"/>
          <w:kern w:val="0"/>
          <w:sz w:val="36"/>
          <w:szCs w:val="36"/>
        </w:rPr>
      </w:pPr>
      <w:r>
        <w:rPr>
          <w:rFonts w:hint="eastAsia" w:cs="宋体" w:asciiTheme="minorEastAsia" w:hAnsiTheme="minorEastAsia"/>
          <w:b/>
          <w:bCs/>
          <w:color w:val="000000"/>
          <w:kern w:val="0"/>
          <w:sz w:val="36"/>
          <w:szCs w:val="36"/>
        </w:rPr>
        <w:t>附件3：</w:t>
      </w:r>
    </w:p>
    <w:p>
      <w:pPr>
        <w:jc w:val="center"/>
        <w:rPr>
          <w:rFonts w:ascii="方正小标宋简体" w:hAnsi="宋体" w:eastAsia="方正小标宋简体"/>
          <w:sz w:val="40"/>
          <w:szCs w:val="44"/>
        </w:rPr>
      </w:pPr>
      <w:r>
        <w:rPr>
          <w:rFonts w:hint="eastAsia" w:ascii="方正小标宋简体" w:eastAsia="方正小标宋简体"/>
          <w:sz w:val="44"/>
          <w:szCs w:val="44"/>
        </w:rPr>
        <w:t>医药院校课程思政案例征集</w:t>
      </w:r>
      <w:r>
        <w:rPr>
          <w:rFonts w:hint="eastAsia" w:ascii="方正小标宋简体" w:hAnsi="宋体" w:eastAsia="方正小标宋简体"/>
          <w:sz w:val="44"/>
          <w:szCs w:val="44"/>
        </w:rPr>
        <w:t>（模板2）</w:t>
      </w:r>
    </w:p>
    <w:tbl>
      <w:tblPr>
        <w:tblStyle w:val="3"/>
        <w:tblW w:w="831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4"/>
        <w:gridCol w:w="1754"/>
        <w:gridCol w:w="974"/>
        <w:gridCol w:w="1365"/>
        <w:gridCol w:w="620"/>
        <w:gridCol w:w="1011"/>
        <w:gridCol w:w="1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51" w:hRule="atLeast"/>
        </w:trPr>
        <w:tc>
          <w:tcPr>
            <w:tcW w:w="1364" w:type="dxa"/>
            <w:vAlign w:val="center"/>
          </w:tcPr>
          <w:p>
            <w:pPr>
              <w:spacing w:line="400" w:lineRule="exact"/>
              <w:jc w:val="center"/>
              <w:rPr>
                <w:sz w:val="28"/>
              </w:rPr>
            </w:pPr>
            <w:r>
              <w:rPr>
                <w:rFonts w:hint="eastAsia"/>
                <w:sz w:val="28"/>
              </w:rPr>
              <w:t>学    校</w:t>
            </w:r>
          </w:p>
        </w:tc>
        <w:tc>
          <w:tcPr>
            <w:tcW w:w="2728" w:type="dxa"/>
            <w:gridSpan w:val="2"/>
            <w:vAlign w:val="center"/>
          </w:tcPr>
          <w:p>
            <w:pPr>
              <w:spacing w:line="400" w:lineRule="exact"/>
              <w:jc w:val="center"/>
              <w:rPr>
                <w:sz w:val="28"/>
              </w:rPr>
            </w:pPr>
            <w:r>
              <w:rPr>
                <w:rFonts w:hint="eastAsia"/>
                <w:sz w:val="28"/>
              </w:rPr>
              <w:t>南方医科大学</w:t>
            </w:r>
          </w:p>
        </w:tc>
        <w:tc>
          <w:tcPr>
            <w:tcW w:w="1365" w:type="dxa"/>
            <w:vAlign w:val="center"/>
          </w:tcPr>
          <w:p>
            <w:pPr>
              <w:spacing w:line="400" w:lineRule="exact"/>
              <w:jc w:val="center"/>
              <w:rPr>
                <w:sz w:val="28"/>
              </w:rPr>
            </w:pPr>
            <w:r>
              <w:rPr>
                <w:rFonts w:hint="eastAsia"/>
                <w:sz w:val="28"/>
              </w:rPr>
              <w:t>学    院</w:t>
            </w:r>
          </w:p>
        </w:tc>
        <w:tc>
          <w:tcPr>
            <w:tcW w:w="2854" w:type="dxa"/>
            <w:gridSpan w:val="3"/>
            <w:vAlign w:val="center"/>
          </w:tcPr>
          <w:p>
            <w:pPr>
              <w:spacing w:line="400" w:lineRule="exact"/>
              <w:jc w:val="center"/>
              <w:rPr>
                <w:sz w:val="28"/>
              </w:rPr>
            </w:pPr>
            <w:r>
              <w:rPr>
                <w:rFonts w:hint="eastAsia"/>
                <w:sz w:val="28"/>
              </w:rPr>
              <w:t>生物医学工程学院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60" w:hRule="atLeast"/>
        </w:trPr>
        <w:tc>
          <w:tcPr>
            <w:tcW w:w="1364" w:type="dxa"/>
            <w:vAlign w:val="center"/>
          </w:tcPr>
          <w:p>
            <w:pPr>
              <w:spacing w:line="400" w:lineRule="exact"/>
              <w:jc w:val="center"/>
              <w:rPr>
                <w:sz w:val="28"/>
              </w:rPr>
            </w:pPr>
            <w:r>
              <w:rPr>
                <w:rFonts w:hint="eastAsia"/>
                <w:sz w:val="28"/>
              </w:rPr>
              <w:t>授课教师</w:t>
            </w:r>
          </w:p>
        </w:tc>
        <w:tc>
          <w:tcPr>
            <w:tcW w:w="2728" w:type="dxa"/>
            <w:gridSpan w:val="2"/>
            <w:vAlign w:val="center"/>
          </w:tcPr>
          <w:p>
            <w:pPr>
              <w:spacing w:line="400" w:lineRule="exact"/>
              <w:jc w:val="center"/>
              <w:rPr>
                <w:sz w:val="28"/>
              </w:rPr>
            </w:pPr>
            <w:r>
              <w:rPr>
                <w:rFonts w:hint="eastAsia"/>
                <w:sz w:val="28"/>
              </w:rPr>
              <w:t>XXX</w:t>
            </w:r>
          </w:p>
        </w:tc>
        <w:tc>
          <w:tcPr>
            <w:tcW w:w="1365" w:type="dxa"/>
            <w:vAlign w:val="center"/>
          </w:tcPr>
          <w:p>
            <w:pPr>
              <w:spacing w:line="400" w:lineRule="exact"/>
              <w:jc w:val="center"/>
              <w:rPr>
                <w:sz w:val="28"/>
              </w:rPr>
            </w:pPr>
            <w:r>
              <w:rPr>
                <w:rFonts w:hint="eastAsia"/>
                <w:sz w:val="28"/>
              </w:rPr>
              <w:t>课程名称</w:t>
            </w:r>
          </w:p>
        </w:tc>
        <w:tc>
          <w:tcPr>
            <w:tcW w:w="2854" w:type="dxa"/>
            <w:gridSpan w:val="3"/>
            <w:vAlign w:val="center"/>
          </w:tcPr>
          <w:p>
            <w:pPr>
              <w:spacing w:line="400" w:lineRule="exact"/>
              <w:jc w:val="center"/>
              <w:rPr>
                <w:sz w:val="28"/>
              </w:rPr>
            </w:pPr>
            <w:r>
              <w:rPr>
                <w:rFonts w:hint="eastAsia"/>
                <w:sz w:val="28"/>
              </w:rPr>
              <w:t>高等数学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800" w:hRule="atLeast"/>
        </w:trPr>
        <w:tc>
          <w:tcPr>
            <w:tcW w:w="1364" w:type="dxa"/>
            <w:vAlign w:val="center"/>
          </w:tcPr>
          <w:p>
            <w:pPr>
              <w:spacing w:line="400" w:lineRule="exact"/>
              <w:jc w:val="center"/>
              <w:rPr>
                <w:sz w:val="28"/>
              </w:rPr>
            </w:pPr>
            <w:r>
              <w:rPr>
                <w:rFonts w:hint="eastAsia"/>
                <w:sz w:val="28"/>
              </w:rPr>
              <w:t>思政内容</w:t>
            </w:r>
          </w:p>
          <w:p>
            <w:pPr>
              <w:spacing w:line="400" w:lineRule="exact"/>
              <w:jc w:val="center"/>
              <w:rPr>
                <w:sz w:val="28"/>
              </w:rPr>
            </w:pPr>
            <w:r>
              <w:rPr>
                <w:rFonts w:hint="eastAsia"/>
                <w:sz w:val="28"/>
              </w:rPr>
              <w:t>类型</w:t>
            </w:r>
          </w:p>
        </w:tc>
        <w:tc>
          <w:tcPr>
            <w:tcW w:w="1754" w:type="dxa"/>
            <w:vAlign w:val="center"/>
          </w:tcPr>
          <w:p>
            <w:pPr>
              <w:spacing w:line="400" w:lineRule="exact"/>
              <w:jc w:val="center"/>
              <w:rPr>
                <w:sz w:val="28"/>
              </w:rPr>
            </w:pPr>
            <w:r>
              <w:rPr>
                <w:rFonts w:hint="eastAsia"/>
                <w:sz w:val="28"/>
              </w:rPr>
              <w:t>思维方式和人文精神</w:t>
            </w:r>
          </w:p>
        </w:tc>
        <w:tc>
          <w:tcPr>
            <w:tcW w:w="974" w:type="dxa"/>
            <w:vAlign w:val="center"/>
          </w:tcPr>
          <w:p>
            <w:pPr>
              <w:spacing w:line="400" w:lineRule="exact"/>
              <w:jc w:val="center"/>
              <w:rPr>
                <w:sz w:val="28"/>
              </w:rPr>
            </w:pPr>
            <w:r>
              <w:rPr>
                <w:rFonts w:hint="eastAsia"/>
                <w:sz w:val="28"/>
              </w:rPr>
              <w:t>融入方式</w:t>
            </w:r>
          </w:p>
        </w:tc>
        <w:tc>
          <w:tcPr>
            <w:tcW w:w="1985" w:type="dxa"/>
            <w:gridSpan w:val="2"/>
            <w:vAlign w:val="center"/>
          </w:tcPr>
          <w:p>
            <w:pPr>
              <w:spacing w:line="400" w:lineRule="exact"/>
              <w:jc w:val="center"/>
              <w:rPr>
                <w:sz w:val="28"/>
              </w:rPr>
            </w:pPr>
            <w:r>
              <w:rPr>
                <w:rFonts w:hint="eastAsia"/>
                <w:sz w:val="28"/>
              </w:rPr>
              <w:t>隐性渗透式</w:t>
            </w:r>
          </w:p>
        </w:tc>
        <w:tc>
          <w:tcPr>
            <w:tcW w:w="1011" w:type="dxa"/>
            <w:vAlign w:val="center"/>
          </w:tcPr>
          <w:p>
            <w:pPr>
              <w:spacing w:line="400" w:lineRule="exact"/>
              <w:jc w:val="center"/>
              <w:rPr>
                <w:sz w:val="28"/>
              </w:rPr>
            </w:pPr>
            <w:r>
              <w:rPr>
                <w:rFonts w:hint="eastAsia"/>
                <w:sz w:val="28"/>
              </w:rPr>
              <w:t>讲授时长</w:t>
            </w:r>
          </w:p>
        </w:tc>
        <w:tc>
          <w:tcPr>
            <w:tcW w:w="1223" w:type="dxa"/>
            <w:vAlign w:val="center"/>
          </w:tcPr>
          <w:p>
            <w:pPr>
              <w:spacing w:line="400" w:lineRule="exact"/>
              <w:jc w:val="center"/>
              <w:rPr>
                <w:sz w:val="28"/>
              </w:rPr>
            </w:pPr>
            <w:r>
              <w:rPr>
                <w:rFonts w:hint="eastAsia"/>
                <w:sz w:val="28"/>
              </w:rPr>
              <w:t>10min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800" w:hRule="atLeast"/>
        </w:trPr>
        <w:tc>
          <w:tcPr>
            <w:tcW w:w="1364" w:type="dxa"/>
            <w:vAlign w:val="center"/>
          </w:tcPr>
          <w:p>
            <w:pPr>
              <w:spacing w:line="400" w:lineRule="exact"/>
              <w:jc w:val="center"/>
              <w:rPr>
                <w:sz w:val="28"/>
              </w:rPr>
            </w:pPr>
            <w:r>
              <w:rPr>
                <w:rFonts w:hint="eastAsia"/>
                <w:sz w:val="28"/>
              </w:rPr>
              <w:t>对应章节和内容</w:t>
            </w:r>
          </w:p>
        </w:tc>
        <w:tc>
          <w:tcPr>
            <w:tcW w:w="6947" w:type="dxa"/>
            <w:gridSpan w:val="6"/>
            <w:vAlign w:val="center"/>
          </w:tcPr>
          <w:p>
            <w:pPr>
              <w:spacing w:line="400" w:lineRule="exact"/>
              <w:jc w:val="left"/>
              <w:rPr>
                <w:sz w:val="28"/>
              </w:rPr>
            </w:pPr>
            <w:r>
              <w:rPr>
                <w:rFonts w:hint="eastAsia"/>
                <w:sz w:val="28"/>
              </w:rPr>
              <w:t>第</w:t>
            </w:r>
            <w:r>
              <w:rPr>
                <w:sz w:val="28"/>
              </w:rPr>
              <w:t>1</w:t>
            </w:r>
            <w:r>
              <w:rPr>
                <w:rFonts w:hint="eastAsia"/>
                <w:sz w:val="28"/>
              </w:rPr>
              <w:t>章</w:t>
            </w:r>
            <w:r>
              <w:rPr>
                <w:sz w:val="28"/>
              </w:rPr>
              <w:t xml:space="preserve"> </w:t>
            </w:r>
            <w:r>
              <w:rPr>
                <w:rFonts w:hint="eastAsia"/>
                <w:sz w:val="28"/>
              </w:rPr>
              <w:t>函数和极限</w:t>
            </w:r>
          </w:p>
          <w:p>
            <w:pPr>
              <w:spacing w:line="400" w:lineRule="exact"/>
              <w:jc w:val="left"/>
              <w:rPr>
                <w:sz w:val="28"/>
              </w:rPr>
            </w:pPr>
            <w:r>
              <w:rPr>
                <w:rFonts w:hint="eastAsia"/>
                <w:sz w:val="28"/>
              </w:rPr>
              <w:t>第</w:t>
            </w:r>
            <w:r>
              <w:rPr>
                <w:sz w:val="28"/>
              </w:rPr>
              <w:t>2</w:t>
            </w:r>
            <w:r>
              <w:rPr>
                <w:rFonts w:hint="eastAsia"/>
                <w:sz w:val="28"/>
              </w:rPr>
              <w:t>节</w:t>
            </w:r>
            <w:r>
              <w:rPr>
                <w:sz w:val="28"/>
              </w:rPr>
              <w:t xml:space="preserve"> </w:t>
            </w:r>
            <w:r>
              <w:rPr>
                <w:rFonts w:hint="eastAsia"/>
                <w:sz w:val="28"/>
              </w:rPr>
              <w:t>极限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516" w:hRule="atLeast"/>
        </w:trPr>
        <w:tc>
          <w:tcPr>
            <w:tcW w:w="1364" w:type="dxa"/>
            <w:vAlign w:val="center"/>
          </w:tcPr>
          <w:p>
            <w:pPr>
              <w:jc w:val="center"/>
              <w:rPr>
                <w:sz w:val="28"/>
              </w:rPr>
            </w:pPr>
            <w:r>
              <w:rPr>
                <w:rFonts w:hint="eastAsia"/>
                <w:sz w:val="28"/>
              </w:rPr>
              <w:t>课程思政</w:t>
            </w:r>
          </w:p>
          <w:p>
            <w:pPr>
              <w:jc w:val="center"/>
              <w:rPr>
                <w:sz w:val="28"/>
              </w:rPr>
            </w:pPr>
            <w:r>
              <w:rPr>
                <w:rFonts w:hint="eastAsia"/>
                <w:sz w:val="28"/>
              </w:rPr>
              <w:t>案例</w:t>
            </w:r>
          </w:p>
        </w:tc>
        <w:tc>
          <w:tcPr>
            <w:tcW w:w="6947" w:type="dxa"/>
            <w:gridSpan w:val="6"/>
            <w:vAlign w:val="center"/>
          </w:tcPr>
          <w:p>
            <w:pPr>
              <w:jc w:val="left"/>
              <w:rPr>
                <w:rFonts w:ascii="仿宋_GB2312" w:eastAsia="仿宋_GB2312"/>
                <w:sz w:val="24"/>
              </w:rPr>
            </w:pPr>
            <w:r>
              <w:rPr>
                <w:rFonts w:hint="eastAsia" w:ascii="仿宋_GB2312" w:eastAsia="仿宋_GB2312"/>
                <w:sz w:val="24"/>
              </w:rPr>
              <w:t>（内容含文字描述及图片）</w:t>
            </w:r>
          </w:p>
          <w:p>
            <w:pPr>
              <w:jc w:val="left"/>
            </w:pPr>
            <w:r>
              <w:rPr>
                <w:rFonts w:hint="eastAsia"/>
                <w:sz w:val="22"/>
              </w:rPr>
              <w:t>极限思想：</w:t>
            </w:r>
          </w:p>
          <w:p>
            <w:pPr>
              <w:jc w:val="left"/>
              <w:rPr>
                <w:sz w:val="22"/>
              </w:rPr>
            </w:pPr>
            <w:bookmarkStart w:id="0" w:name="_GoBack"/>
            <w:r>
              <w:rPr>
                <w:sz w:val="22"/>
              </w:rPr>
              <w:drawing>
                <wp:anchor distT="0" distB="0" distL="114300" distR="114300" simplePos="0" relativeHeight="251659264" behindDoc="0" locked="0" layoutInCell="1" allowOverlap="1">
                  <wp:simplePos x="0" y="0"/>
                  <wp:positionH relativeFrom="column">
                    <wp:posOffset>17780</wp:posOffset>
                  </wp:positionH>
                  <wp:positionV relativeFrom="paragraph">
                    <wp:posOffset>23495</wp:posOffset>
                  </wp:positionV>
                  <wp:extent cx="1133475" cy="1495425"/>
                  <wp:effectExtent l="0" t="0" r="9525" b="3175"/>
                  <wp:wrapSquare wrapText="bothSides"/>
                  <wp:docPr id="5" name="图片 1" descr="https://gss3.bdstatic.com/-Po3dSag_xI4khGkpoWK1HF6hhy/baike/w%3D268%3Bg%3D0/sign=170bfe8d2f2eb938ec6d7df4ed59e208/3812b31bb051f819c5f4fe26dab44aed2f73e78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https://gss3.bdstatic.com/-Po3dSag_xI4khGkpoWK1HF6hhy/baike/w%3D268%3Bg%3D0/sign=170bfe8d2f2eb938ec6d7df4ed59e208/3812b31bb051f819c5f4fe26dab44aed2f73e78d.jpg"/>
                          <pic:cNvPicPr>
                            <a:picLocks noChangeAspect="1" noChangeArrowheads="1"/>
                          </pic:cNvPicPr>
                        </pic:nvPicPr>
                        <pic:blipFill>
                          <a:blip r:embed="rId4" cstate="print"/>
                          <a:srcRect/>
                          <a:stretch>
                            <a:fillRect/>
                          </a:stretch>
                        </pic:blipFill>
                        <pic:spPr>
                          <a:xfrm>
                            <a:off x="0" y="0"/>
                            <a:ext cx="1133475" cy="1495425"/>
                          </a:xfrm>
                          <a:prstGeom prst="rect">
                            <a:avLst/>
                          </a:prstGeom>
                          <a:noFill/>
                          <a:ln w="9525">
                            <a:noFill/>
                            <a:miter lim="800000"/>
                            <a:headEnd/>
                            <a:tailEnd/>
                          </a:ln>
                        </pic:spPr>
                      </pic:pic>
                    </a:graphicData>
                  </a:graphic>
                </wp:anchor>
              </w:drawing>
            </w:r>
            <w:bookmarkEnd w:id="0"/>
            <w:r>
              <w:rPr>
                <w:rFonts w:hint="eastAsia"/>
                <w:sz w:val="22"/>
              </w:rPr>
              <w:t>1.在讲极限概念时，补充我国悠久的历史文化和辉煌的数学成就。比如《墨经》中载有“穷，或有前，不容尺也”；《庄子•天下篇》中载有“一日之锤，日取其半，万世不竭”；《九章算术注》中载有刘徽开创的“割圆术”，“割之弥细，所失弥少，割之又割</w:t>
            </w:r>
            <w:r>
              <w:rPr>
                <w:sz w:val="22"/>
              </w:rPr>
              <w:t>,</w:t>
            </w:r>
            <w:r>
              <w:rPr>
                <w:rFonts w:hint="eastAsia"/>
                <w:sz w:val="22"/>
              </w:rPr>
              <w:t>以至于不可割，则与圆合体，而无所失矣。”这些都是中国的朴素的、直观的极限思想°。而刘徽对圆面积公式的证明，被公认为世界数学史上首次将极限思想和无穷小分割方法引人到数学证明中。这些极具代表性的中国数学成就，能够极大地增强学生的民族自豪感和文化自信，进而激励学生为祖国的繁荣富强和中国梦的实现而努力学习。</w:t>
            </w:r>
          </w:p>
          <w:p>
            <w:pPr>
              <w:jc w:val="left"/>
              <w:rPr>
                <w:sz w:val="24"/>
              </w:rPr>
            </w:pPr>
            <w:r>
              <w:rPr>
                <w:rFonts w:hint="eastAsia"/>
                <w:sz w:val="22"/>
              </w:rPr>
              <w:t>2.补充量变到质变的哲学原理。从量变与质变的角度来看，有限的变化实际上是一个量变的过程，是质变的必要准备。当变化无限发展，量变超出了度的范围，于是就引起质的变化，所以质变是量变的必然结果。高等数学与初等数学的显著区别在于引入了极限的概念。极限正是一种研究变量变化趋势的数学思想，它是变量无限地向有限目标的逼近而产生量变到质变的转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1964" w:hRule="atLeast"/>
        </w:trPr>
        <w:tc>
          <w:tcPr>
            <w:tcW w:w="1364" w:type="dxa"/>
            <w:vAlign w:val="center"/>
          </w:tcPr>
          <w:p>
            <w:pPr>
              <w:rPr>
                <w:sz w:val="28"/>
              </w:rPr>
            </w:pPr>
            <w:r>
              <w:rPr>
                <w:rFonts w:hint="eastAsia"/>
                <w:sz w:val="28"/>
              </w:rPr>
              <w:t>院校意见</w:t>
            </w:r>
          </w:p>
        </w:tc>
        <w:tc>
          <w:tcPr>
            <w:tcW w:w="6947" w:type="dxa"/>
            <w:gridSpan w:val="6"/>
            <w:vAlign w:val="center"/>
          </w:tcPr>
          <w:p>
            <w:pPr>
              <w:jc w:val="left"/>
              <w:rPr>
                <w:rFonts w:ascii="仿宋_GB2312" w:eastAsia="仿宋_GB2312"/>
                <w:sz w:val="24"/>
              </w:rPr>
            </w:pPr>
          </w:p>
          <w:p>
            <w:pPr>
              <w:jc w:val="left"/>
              <w:rPr>
                <w:rFonts w:ascii="仿宋_GB2312" w:eastAsia="仿宋_GB2312"/>
                <w:sz w:val="24"/>
              </w:rPr>
            </w:pPr>
          </w:p>
          <w:p>
            <w:pPr>
              <w:jc w:val="left"/>
              <w:rPr>
                <w:rFonts w:ascii="仿宋_GB2312" w:eastAsia="仿宋_GB2312"/>
                <w:sz w:val="24"/>
              </w:rPr>
            </w:pPr>
          </w:p>
          <w:p>
            <w:pPr>
              <w:wordWrap w:val="0"/>
              <w:spacing w:line="500" w:lineRule="exact"/>
              <w:jc w:val="right"/>
              <w:rPr>
                <w:rFonts w:ascii="仿宋_GB2312" w:eastAsia="仿宋_GB2312"/>
                <w:sz w:val="28"/>
              </w:rPr>
            </w:pPr>
            <w:r>
              <w:rPr>
                <w:rFonts w:hint="eastAsia" w:ascii="仿宋_GB2312" w:eastAsia="仿宋_GB2312"/>
                <w:sz w:val="28"/>
              </w:rPr>
              <w:t>（单位公章）</w:t>
            </w:r>
            <w:r>
              <w:rPr>
                <w:rFonts w:hint="eastAsia" w:ascii="仿宋_GB2312" w:eastAsia="仿宋_GB2312"/>
                <w:sz w:val="32"/>
              </w:rPr>
              <w:t xml:space="preserve">    </w:t>
            </w:r>
            <w:r>
              <w:rPr>
                <w:rFonts w:hint="eastAsia" w:ascii="仿宋_GB2312" w:eastAsia="仿宋_GB2312"/>
                <w:sz w:val="28"/>
              </w:rPr>
              <w:t xml:space="preserve">      </w:t>
            </w:r>
          </w:p>
          <w:p>
            <w:pPr>
              <w:wordWrap w:val="0"/>
              <w:spacing w:line="500" w:lineRule="exact"/>
              <w:jc w:val="right"/>
              <w:rPr>
                <w:rFonts w:ascii="仿宋_GB2312" w:eastAsia="仿宋_GB2312"/>
                <w:sz w:val="28"/>
              </w:rPr>
            </w:pPr>
            <w:r>
              <w:rPr>
                <w:rFonts w:hint="eastAsia" w:ascii="仿宋_GB2312" w:eastAsia="仿宋_GB2312"/>
                <w:sz w:val="28"/>
              </w:rPr>
              <w:t xml:space="preserve">年   月   日   </w:t>
            </w:r>
          </w:p>
        </w:tc>
      </w:tr>
    </w:tbl>
    <w:p>
      <w:pPr>
        <w:ind w:left="840" w:hanging="840" w:hangingChars="350"/>
        <w:rPr>
          <w:sz w:val="24"/>
        </w:rPr>
      </w:pPr>
      <w:r>
        <w:rPr>
          <w:rFonts w:hint="eastAsia"/>
          <w:sz w:val="24"/>
        </w:rPr>
        <w:t>备注：1.思政内容类型包括：政治方向和方针政策、家国情怀和社会责任、专业伦理和道德法治、科学精神和职业发展、思维方式和人文精神、社会时间和志愿服务等；</w:t>
      </w:r>
    </w:p>
    <w:p>
      <w:pPr>
        <w:ind w:left="840" w:hanging="840" w:hangingChars="350"/>
        <w:rPr>
          <w:sz w:val="24"/>
        </w:rPr>
      </w:pPr>
      <w:r>
        <w:rPr>
          <w:rFonts w:hint="eastAsia"/>
          <w:sz w:val="24"/>
        </w:rPr>
        <w:t xml:space="preserve">      2.融入方式包括：画龙点睛式、案例穿插式、专题嵌入式、隐性渗透式、讨论辨析式等；</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Calibri">
    <w:panose1 w:val="020F0702030404030204"/>
    <w:charset w:val="00"/>
    <w:family w:val="swiss"/>
    <w:pitch w:val="default"/>
    <w:sig w:usb0="E10002FF" w:usb1="4000ACFF" w:usb2="00000009" w:usb3="00000000" w:csb0="2000019F" w:csb1="00000000"/>
  </w:font>
  <w:font w:name="苹方-简">
    <w:panose1 w:val="020B0400000000000000"/>
    <w:charset w:val="86"/>
    <w:family w:val="auto"/>
    <w:pitch w:val="default"/>
    <w:sig w:usb0="A00002FF" w:usb1="7ACFFDFB" w:usb2="00000017" w:usb3="00000000" w:csb0="00040001" w:csb1="00000000"/>
  </w:font>
  <w:font w:name="汉仪书宋二KW">
    <w:panose1 w:val="00020600040101010101"/>
    <w:charset w:val="86"/>
    <w:family w:val="auto"/>
    <w:pitch w:val="default"/>
    <w:sig w:usb0="A00002BF" w:usb1="18EF7CFA" w:usb2="00000016" w:usb3="00000000" w:csb0="00040000" w:csb1="00000000"/>
  </w:font>
  <w:font w:name="黑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AFF" w:usb1="C000605B" w:usb2="00000029" w:usb3="00000000" w:csb0="200101FF" w:csb1="20280000"/>
  </w:font>
  <w:font w:name="方正小标宋简体">
    <w:altName w:val="宋体"/>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07CCA0"/>
    <w:rsid w:val="2B07CC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Office_1.8.0.2797_F1E327BC-269C-435d-A152-05C5408002CA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2019-12-16T02:18:00Z</dcterms:created>
  <dc:creator>linhaojie</dc:creator>
  <cp:lastModifiedBy>linhaojie</cp:lastModifiedBy>
  <dcterms:modified xsi:type="dcterms:W3CDTF">2019-12-16T02:18:59Z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2052-1.8.0.2797</vt:lpwstr>
  </property>
</Properties>
</file>